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28896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997805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8288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652.7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  <w:r/>
    </w:p>
    <w:p>
      <w:pPr>
        <w:ind w:left="120"/>
        <w:spacing w:after="0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5" w:name="block-4886409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</w:t>
      </w:r>
      <w:r>
        <w:rPr>
          <w:rFonts w:ascii="Times New Roman" w:hAnsi="Times New Roman"/>
          <w:color w:val="000000"/>
          <w:sz w:val="28"/>
        </w:rPr>
        <w:t xml:space="preserve">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</w:t>
      </w:r>
      <w:r>
        <w:rPr>
          <w:rFonts w:ascii="Times New Roman" w:hAnsi="Times New Roman"/>
          <w:color w:val="000000"/>
          <w:sz w:val="28"/>
        </w:rPr>
        <w:t xml:space="preserve">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</w:t>
      </w:r>
      <w:r>
        <w:rPr>
          <w:rFonts w:ascii="Times New Roman" w:hAnsi="Times New Roman"/>
          <w:color w:val="000000"/>
          <w:sz w:val="28"/>
        </w:rPr>
        <w:t xml:space="preserve">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</w:t>
      </w:r>
      <w:r>
        <w:rPr>
          <w:rFonts w:ascii="Times New Roman" w:hAnsi="Times New Roman"/>
          <w:color w:val="000000"/>
          <w:sz w:val="28"/>
        </w:rPr>
        <w:t xml:space="preserve">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</w:t>
      </w:r>
      <w:r>
        <w:rPr>
          <w:rFonts w:ascii="Times New Roman" w:hAnsi="Times New Roman"/>
          <w:color w:val="000000"/>
          <w:sz w:val="28"/>
        </w:rPr>
        <w:t xml:space="preserve">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</w:t>
      </w:r>
      <w:r>
        <w:rPr>
          <w:rFonts w:ascii="Times New Roman" w:hAnsi="Times New Roman"/>
          <w:color w:val="000000"/>
          <w:sz w:val="28"/>
        </w:rPr>
        <w:t xml:space="preserve">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</w:t>
      </w:r>
      <w:r>
        <w:rPr>
          <w:rFonts w:ascii="Times New Roman" w:hAnsi="Times New Roman"/>
          <w:color w:val="000000"/>
          <w:sz w:val="28"/>
        </w:rPr>
        <w:t xml:space="preserve">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r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>
        <w:rPr>
          <w:rFonts w:ascii="Times New Roman" w:hAnsi="Times New Roman"/>
          <w:color w:val="000000"/>
          <w:sz w:val="28"/>
        </w:rPr>
        <w:t xml:space="preserve">вовлечение обучающихся в здоровый образ жизни за счёт овладения ими знаниями и у</w:t>
      </w:r>
      <w:r>
        <w:rPr>
          <w:rFonts w:ascii="Times New Roman" w:hAnsi="Times New Roman"/>
          <w:color w:val="000000"/>
          <w:sz w:val="28"/>
        </w:rPr>
        <w:t xml:space="preserve">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</w:t>
      </w:r>
      <w:r>
        <w:rPr>
          <w:rFonts w:ascii="Times New Roman" w:hAnsi="Times New Roman"/>
          <w:color w:val="000000"/>
          <w:sz w:val="28"/>
        </w:rPr>
        <w:t xml:space="preserve">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</w:t>
      </w:r>
      <w:r>
        <w:rPr>
          <w:rFonts w:ascii="Times New Roman" w:hAnsi="Times New Roman"/>
          <w:color w:val="000000"/>
          <w:sz w:val="28"/>
        </w:rPr>
        <w:t xml:space="preserve">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Достижение целостного развития ст</w:t>
      </w:r>
      <w:r>
        <w:rPr>
          <w:rFonts w:ascii="Times New Roman" w:hAnsi="Times New Roman"/>
          <w:color w:val="000000"/>
          <w:sz w:val="28"/>
        </w:rPr>
        <w:t xml:space="preserve">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r>
        <w:rPr>
          <w:rFonts w:ascii="Times New Roman" w:hAnsi="Times New Roman"/>
          <w:color w:val="000000"/>
          <w:sz w:val="28"/>
        </w:rPr>
        <w:t xml:space="preserve">информационный</w:t>
      </w:r>
      <w:r>
        <w:rPr>
          <w:rFonts w:ascii="Times New Roman" w:hAnsi="Times New Roman"/>
          <w:color w:val="000000"/>
          <w:sz w:val="28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r>
        <w:rPr>
          <w:rFonts w:ascii="Times New Roman" w:hAnsi="Times New Roman"/>
          <w:color w:val="000000"/>
          <w:sz w:val="28"/>
        </w:rPr>
        <w:t xml:space="preserve">подготовки</w:t>
      </w:r>
      <w:r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</w:t>
      </w:r>
      <w:r>
        <w:rPr>
          <w:rFonts w:ascii="Times New Roman" w:hAnsi="Times New Roman"/>
          <w:color w:val="000000"/>
          <w:sz w:val="28"/>
        </w:rPr>
        <w:t xml:space="preserve">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модуля «Прикладно-ориентированная физическая культура» обе</w:t>
      </w:r>
      <w:r>
        <w:rPr>
          <w:rFonts w:ascii="Times New Roman" w:hAnsi="Times New Roman"/>
          <w:color w:val="000000"/>
          <w:sz w:val="28"/>
        </w:rPr>
        <w:t xml:space="preserve">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>
        <w:rPr>
          <w:rFonts w:ascii="Times New Roman" w:hAnsi="Times New Roman"/>
          <w:color w:val="000000"/>
          <w:sz w:val="28"/>
        </w:rPr>
        <w:t xml:space="preserve">Образовательные организации могут разраб</w:t>
      </w:r>
      <w:r>
        <w:rPr>
          <w:rFonts w:ascii="Times New Roman" w:hAnsi="Times New Roman"/>
          <w:color w:val="000000"/>
          <w:sz w:val="28"/>
        </w:rPr>
        <w:t xml:space="preserve">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</w:t>
      </w:r>
      <w:r>
        <w:rPr>
          <w:rFonts w:ascii="Times New Roman" w:hAnsi="Times New Roman"/>
          <w:color w:val="000000"/>
          <w:sz w:val="28"/>
        </w:rPr>
        <w:t xml:space="preserve">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метапредметные и предметные результаты.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‌</w:t>
      </w:r>
      <w:bookmarkStart w:id="6" w:name="bb146442-f527-41bf-8c2f-d7c56b2bd4b0"/>
      <w:r>
        <w:rPr>
          <w:rFonts w:ascii="Times New Roman" w:hAnsi="Times New Roman"/>
          <w:color w:val="000000"/>
          <w:sz w:val="28"/>
        </w:rPr>
        <w:t xml:space="preserve">Общее число часов для изучения физической культуры на уровне начального обще</w:t>
      </w:r>
      <w:r>
        <w:rPr>
          <w:rFonts w:ascii="Times New Roman" w:hAnsi="Times New Roman"/>
          <w:color w:val="000000"/>
          <w:sz w:val="28"/>
        </w:rPr>
        <w:t xml:space="preserve">го образования составляет – 270 часов: в 1 классе – 66</w:t>
      </w:r>
      <w:r>
        <w:rPr>
          <w:rFonts w:ascii="Times New Roman" w:hAnsi="Times New Roman"/>
          <w:color w:val="000000"/>
          <w:sz w:val="28"/>
        </w:rPr>
        <w:t xml:space="preserve">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6"/>
      <w:r>
        <w:rPr>
          <w:rFonts w:ascii="Times New Roman" w:hAnsi="Times New Roman"/>
          <w:color w:val="000000"/>
          <w:sz w:val="28"/>
        </w:rPr>
        <w:t xml:space="preserve">‌‌</w:t>
      </w:r>
      <w:r/>
    </w:p>
    <w:p>
      <w:pPr>
        <w:ind w:left="120"/>
        <w:jc w:val="both"/>
        <w:spacing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7" w:name="block-4886403"/>
      <w:r/>
      <w:bookmarkEnd w:id="5"/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spacing w:after="0"/>
      </w:pPr>
      <w:r/>
      <w:bookmarkStart w:id="11" w:name="_Toc137548639"/>
      <w:r/>
      <w:bookmarkEnd w:id="11"/>
      <w:r/>
      <w:r/>
    </w:p>
    <w:p>
      <w:pPr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</w:t>
      </w:r>
      <w:r>
        <w:rPr>
          <w:rFonts w:ascii="Times New Roman" w:hAnsi="Times New Roman"/>
          <w:color w:val="000000"/>
          <w:sz w:val="28"/>
        </w:rPr>
        <w:t xml:space="preserve">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</w:t>
      </w:r>
      <w:r>
        <w:rPr>
          <w:rFonts w:ascii="Times New Roman" w:hAnsi="Times New Roman"/>
          <w:color w:val="000000"/>
          <w:sz w:val="28"/>
        </w:rPr>
        <w:t xml:space="preserve">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</w:t>
      </w:r>
      <w:r>
        <w:rPr>
          <w:rFonts w:ascii="Times New Roman" w:hAnsi="Times New Roman"/>
          <w:color w:val="000000"/>
          <w:sz w:val="28"/>
        </w:rPr>
        <w:t xml:space="preserve">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r>
        <w:rPr>
          <w:rFonts w:ascii="Times New Roman" w:hAnsi="Times New Roman"/>
          <w:color w:val="000000"/>
          <w:sz w:val="28"/>
        </w:rPr>
        <w:t xml:space="preserve">дальность</w:t>
      </w:r>
      <w:r>
        <w:rPr>
          <w:rFonts w:ascii="Times New Roman" w:hAnsi="Times New Roman"/>
          <w:color w:val="000000"/>
          <w:sz w:val="28"/>
        </w:rPr>
        <w:t xml:space="preserve"> стоя на месте.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Подвижные и спортивные игры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</w:t>
      </w:r>
      <w:r>
        <w:rPr>
          <w:rFonts w:ascii="Times New Roman" w:hAnsi="Times New Roman"/>
          <w:color w:val="000000"/>
          <w:sz w:val="28"/>
        </w:rPr>
        <w:t xml:space="preserve">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Прикладно-ориентированная физическая культура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ГТО.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12" w:name="_Toc137548640"/>
      <w:r/>
      <w:bookmarkStart w:id="13" w:name="block-4886405"/>
      <w:r/>
      <w:bookmarkEnd w:id="7"/>
      <w:r/>
      <w:bookmarkEnd w:id="12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ФИЗИЧЕСКОЙ КУЛЬТУРЕ НА УРОВНЕ НАЧАЛЬНОГО ОБЩЕГО ОБРАЗОВАНИЯ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ind w:left="120"/>
        <w:spacing w:after="0"/>
      </w:pPr>
      <w:r/>
      <w:bookmarkStart w:id="14" w:name="_Toc137548641"/>
      <w:r/>
      <w:bookmarkEnd w:id="14"/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r/>
    </w:p>
    <w:p>
      <w:pPr>
        <w:ind w:left="120"/>
        <w:spacing w:after="0"/>
      </w:pPr>
      <w:r/>
      <w:bookmarkStart w:id="15" w:name="_Toc137548642"/>
      <w:r/>
      <w:bookmarkEnd w:id="15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r/>
      <w:bookmarkEnd w:id="16"/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i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after="0" w:line="264" w:lineRule="auto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  <w:lang w:val="en-US"/>
        </w:rPr>
        <w:t xml:space="preserve">: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  <w:r/>
    </w:p>
    <w:p>
      <w:pPr>
        <w:ind w:firstLine="600"/>
        <w:jc w:val="both"/>
        <w:spacing w:after="0" w:line="264" w:lineRule="auto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en-US"/>
        </w:rPr>
        <w:t xml:space="preserve">: 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, воспроизводить ранее изученный материал и отвечать на вопросы в процессе учебного диалога;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, применять термины при обучении новым физическим упражнениям, развитии физических качеств;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оказывать посильную первую помощь во время занятий физической культурой.</w:t>
      </w:r>
      <w:r/>
    </w:p>
    <w:p>
      <w:pPr>
        <w:ind w:firstLine="600"/>
        <w:jc w:val="both"/>
        <w:spacing w:after="0" w:line="264" w:lineRule="auto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en-US"/>
        </w:rPr>
        <w:t xml:space="preserve">: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  <w:r/>
    </w:p>
    <w:p>
      <w:pPr>
        <w:ind w:left="120"/>
        <w:spacing w:after="0"/>
      </w:pPr>
      <w:r/>
      <w:bookmarkStart w:id="17" w:name="_Toc137548643"/>
      <w:r/>
      <w:bookmarkEnd w:id="17"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  <w:r/>
      <w:bookmarkStart w:id="24" w:name="_Toc137548647"/>
      <w:r/>
      <w:bookmarkEnd w:id="24"/>
      <w:r/>
      <w:r/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 xml:space="preserve"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r>
        <w:rPr>
          <w:rFonts w:ascii="Times New Roman" w:hAnsi="Times New Roman"/>
          <w:color w:val="000000"/>
          <w:sz w:val="28"/>
        </w:rPr>
        <w:t xml:space="preserve">сердечно-сосудистой</w:t>
      </w:r>
      <w:r>
        <w:rPr>
          <w:rFonts w:ascii="Times New Roman" w:hAnsi="Times New Roman"/>
          <w:color w:val="000000"/>
          <w:sz w:val="28"/>
        </w:rPr>
        <w:t xml:space="preserve"> и дыхательной систем; 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</w:t>
      </w:r>
      <w:r>
        <w:rPr>
          <w:rFonts w:ascii="Times New Roman" w:hAnsi="Times New Roman"/>
          <w:color w:val="000000"/>
          <w:sz w:val="28"/>
        </w:rPr>
        <w:t xml:space="preserve">атлетикой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;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готовность оказать первую помощь в случае необходимости;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напрыгивания;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движения танца «Летка-енка» в групповом исполнении под музыкальное сопровождение; 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освоенные технические действия спортивных игр баскетбол, волейбол и футбол в условиях игровой деятельности;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</w:t>
      </w:r>
      <w:r/>
    </w:p>
    <w:p>
      <w:pPr>
        <w:ind w:left="0"/>
        <w:spacing w:after="0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en-US"/>
        </w:rPr>
      </w:r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 xml:space="preserve">4 КЛАСС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1117"/>
        <w:gridCol w:w="4553"/>
        <w:gridCol w:w="1543"/>
        <w:gridCol w:w="1841"/>
        <w:gridCol w:w="1910"/>
        <w:gridCol w:w="3076"/>
      </w:tblGrid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Количество часов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Знания о физической культуре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Самостоятельная физическая подготовка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предупреждения травм и оказание первой помощи при их возникновении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нарушения осанки и снижения массы тела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Закаливание организма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Гимнастика с основами акробатики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Легкая атлетика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Подвижные и спортивные игры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41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Прикладно-ориентированная физическая культура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/>
            <w:hyperlink r:id="rId11" w:tooltip="https://resh.edu.ru/subject/9/" w:history="1">
              <w:r>
                <w:rPr>
                  <w:rStyle w:val="652"/>
                  <w:rFonts w:ascii="Times New Roman" w:hAnsi="Times New Roman"/>
                  <w:sz w:val="24"/>
                  <w:lang w:val="en-US"/>
                </w:rPr>
                <w:t xml:space="preserve">https://resh.edu.ru/subject/9/</w:t>
              </w:r>
            </w:hyperlink>
            <w:r/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gto.ru</w:t>
            </w:r>
            <w:r/>
          </w:p>
        </w:tc>
      </w:tr>
      <w:tr>
        <w:trPr>
          <w:trHeight w:val="1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Название</w:t>
            </w:r>
            <w:r/>
          </w:p>
        </w:tc>
      </w:tr>
      <w:tr>
        <w:trPr>
          <w:trHeight w:val="1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5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076" w:type="dxa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0" w:right="1134" w:bottom="1701" w:left="1134" w:header="720" w:footer="720" w:gutter="0"/>
          <w:cols w:num="1" w:sep="0" w:space="720" w:equalWidth="1"/>
          <w:docGrid w:linePitch="360"/>
        </w:sectPr>
      </w:pPr>
      <w:r/>
      <w:r/>
    </w:p>
    <w:p>
      <w:pPr>
        <w:ind w:left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планирование</w:t>
      </w:r>
      <w:r>
        <w:rPr>
          <w:lang w:val="en-US"/>
        </w:rPr>
      </w:r>
    </w:p>
    <w:p>
      <w:pPr>
        <w:ind w:left="0"/>
        <w:spacing w:after="0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en-US"/>
        </w:rPr>
        <w:t xml:space="preserve"> 4 КЛАСС </w:t>
      </w:r>
      <w:r/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4451"/>
        <w:gridCol w:w="1094"/>
        <w:gridCol w:w="1841"/>
        <w:gridCol w:w="1603"/>
        <w:gridCol w:w="1654"/>
        <w:gridCol w:w="2221"/>
      </w:tblGrid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53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Количество часов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развития физической культуры в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развития национальных видов спорта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edu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/9/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развития национальных видов спорта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физическая подготовка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занятий физической подготовкой на работу систем организма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edu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/9/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годовой динамики показателей физического развития и физической подготовленности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https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://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resh.edu.ru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subject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/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предупреждения травм на уроках физической культуры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на занятиях физической культуры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40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Лёгкая атлетика 9 ч.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на занятиях лёгкой атлетикой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прыжках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высоту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разбега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высоту с разбега способом перешагивания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высоту с разбега способом перешагивания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Бег 30 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Бег 30 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цель. Челночный бег 3х10 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на дальность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Челночный бег 3х10 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на дальность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индивидуальной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физической нагрузки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самостоятельных занятий 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физической подготовкой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Закаливание организма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</w:tc>
      </w:tr>
      <w:tr>
        <w:trPr>
          <w:trHeight w:val="144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40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Гимнастика 14 ч.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нарушения осанки и снижения массы тела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при выполнении гимнастических и акробатических упражнений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Акробатическая комбинация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Акробатическая комбинация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Акробатическая комбинация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напрыгивания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напрыгивания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Поводящие упражнения для обучения опорному прыжку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Поводящие упражнения для обучения опорному прыжку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Упражнения на гимнастической перекладине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Упражнения на гимнастической перекладине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 и упоры на низкой гимнастической перекладине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Танцевальные упражнения «Летка-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енка»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Танцевальные упражнения «Летка-енка»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Подвижные игры  18 ч.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травматизма на занятиях подвижными играми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«Запрещенное движение»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«Подвижная цель»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«Подвижная цель»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«Эстафета с ведением футбольного мяча»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«Эстафета с ведением футбольного мяча»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«Паровая машина»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«Паровая машина»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лодок»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лодок»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Упражнения из игры волейбол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Упражнения из игры волейбол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Упражнения из игры баскетбол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Упражнения из игры баскетбол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Упражнения из игры футбол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Упражнения из игры футбол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игры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Дневник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игры.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Дневник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</w:t>
            </w:r>
            <w:r/>
          </w:p>
        </w:tc>
      </w:tr>
      <w:tr>
        <w:trPr>
          <w:trHeight w:val="144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40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                                                                                        ГТО 18 ч. 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наше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3 ступени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Бег на 30м. Эстафеты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Бег на 30м. Эстафеты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Бег на 1000м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Бег на 1000м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Подтягивание из виса лежа на низкой перекладине 90см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разгибание рук в упоре лежа на полу. Эстафеты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Подтягивание из виса лежа на низкой перекладине 90см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Сгибание и разгибание рук в упоре лежа на полу. Эстафеты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school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edu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uchi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ru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Подвижные игры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Подвижные игры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Челночный бег 3*10м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Эстафеты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Челночный бег 3*10м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Эстафеты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Подвижные игры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Подвижные игры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мяча весом 150г. Подвижные игры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мяча весом 150г. Подвижные игры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1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44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техники выполнения испытаний (тестов) 3 ступени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5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www.school.edu.ru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https://uchi.ru</w:t>
            </w:r>
            <w:r/>
          </w:p>
          <w:p>
            <w:pPr>
              <w:ind w:left="135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gto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333333"/>
              </w:rPr>
              <w:t xml:space="preserve">‌</w:t>
            </w:r>
            <w:r/>
          </w:p>
        </w:tc>
      </w:tr>
      <w:tr>
        <w:trPr>
          <w:trHeight w:val="14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56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0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0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3875" w:type="dxa"/>
            <w:vAlign w:val="center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</w:tbl>
    <w:p>
      <w:pPr>
        <w:rPr>
          <w:lang w:val="en-US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en-US"/>
        </w:rPr>
      </w:r>
      <w:r/>
    </w:p>
    <w:p>
      <w:pPr>
        <w:ind w:left="0"/>
        <w:spacing w:after="0"/>
      </w:pPr>
      <w:r/>
      <w:bookmarkStart w:id="28" w:name="block-4886407"/>
      <w:r/>
      <w:bookmarkEnd w:id="26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19"/>
        <w:spacing w:after="0" w:line="240" w:lineRule="auto"/>
      </w:pPr>
      <w:r>
        <w:rPr>
          <w:rFonts w:ascii="Times New Roman" w:hAnsi="Times New Roman"/>
          <w:color w:val="000000"/>
          <w:sz w:val="28"/>
        </w:rPr>
        <w:t xml:space="preserve">​‌• Физическая культура: 1-й класс: учебник, 1 класс/ Матвеев А.П.,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Физическая культура: 3-й класс: учебник, 3 класс/ Матвеев А.П., Акционерное общество «Издательство «Просвещение»</w:t>
      </w:r>
      <w:r>
        <w:rPr>
          <w:sz w:val="28"/>
        </w:rPr>
        <w:br/>
      </w:r>
      <w:bookmarkStart w:id="29" w:name="f056fd23-2f41-4129-8da1-d467aa21439d"/>
      <w:r>
        <w:rPr>
          <w:rFonts w:ascii="Times New Roman" w:hAnsi="Times New Roman"/>
          <w:color w:val="000000"/>
          <w:sz w:val="28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bookmarkEnd w:id="29"/>
      <w:r>
        <w:rPr>
          <w:rFonts w:ascii="Times New Roman" w:hAnsi="Times New Roman"/>
          <w:color w:val="000000"/>
          <w:sz w:val="28"/>
        </w:rPr>
        <w:t xml:space="preserve">‌​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</w:t>
      </w:r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Физическая культура, 1-4 класс/Матвеев А.П.,Акционерное общество «Издательство 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«Просвещение»;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Физическая культура. 1-4 класс/Виленский М.Я., Туревский И.М., Торочкова Т.Ю. и </w:t>
      </w:r>
      <w:r/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другие; под редакцией Виленского М.Я., Акционерное общество «Издательство «Просвещение</w:t>
      </w: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 xml:space="preserve">»</w:t>
      </w:r>
      <w:r/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</w:rPr>
        <w:t xml:space="preserve">: </w:t>
      </w:r>
      <w:hyperlink r:id="rId12" w:tooltip="http://www.edu.ru" w:history="1">
        <w:r>
          <w:rPr>
            <w:rStyle w:val="652"/>
            <w:rFonts w:ascii="Times New Roman" w:hAnsi="Times New Roman"/>
            <w:b/>
            <w:sz w:val="28"/>
            <w:lang w:val="en-US"/>
          </w:rPr>
          <w:t xml:space="preserve">www</w:t>
        </w:r>
        <w:r>
          <w:rPr>
            <w:rStyle w:val="652"/>
            <w:rFonts w:ascii="Times New Roman" w:hAnsi="Times New Roman"/>
            <w:b/>
            <w:sz w:val="28"/>
          </w:rPr>
          <w:t xml:space="preserve">.</w:t>
        </w:r>
        <w:r>
          <w:rPr>
            <w:rStyle w:val="652"/>
            <w:rFonts w:ascii="Times New Roman" w:hAnsi="Times New Roman"/>
            <w:b/>
            <w:sz w:val="28"/>
            <w:lang w:val="en-US"/>
          </w:rPr>
          <w:t xml:space="preserve">edu</w:t>
        </w:r>
        <w:r>
          <w:rPr>
            <w:rStyle w:val="652"/>
            <w:rFonts w:ascii="Times New Roman" w:hAnsi="Times New Roman"/>
            <w:b/>
            <w:sz w:val="28"/>
          </w:rPr>
          <w:t xml:space="preserve">.</w:t>
        </w:r>
        <w:r>
          <w:rPr>
            <w:rStyle w:val="652"/>
            <w:rFonts w:ascii="Times New Roman" w:hAnsi="Times New Roman"/>
            <w:b/>
            <w:sz w:val="28"/>
            <w:lang w:val="en-US"/>
          </w:rPr>
          <w:t xml:space="preserve">ru</w:t>
        </w:r>
      </w:hyperlink>
      <w:r>
        <w:rPr>
          <w:rFonts w:ascii="Times New Roman" w:hAnsi="Times New Roman"/>
          <w:b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 xml:space="preserve">user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  <w:lang w:val="en-US"/>
        </w:rPr>
        <w:t xml:space="preserve">gto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  <w:lang w:val="en-US"/>
        </w:rPr>
        <w:t xml:space="preserve">ru</w:t>
      </w:r>
      <w:r>
        <w:rPr>
          <w:rFonts w:ascii="Times New Roman" w:hAnsi="Times New Roman"/>
          <w:color w:val="333333"/>
          <w:sz w:val="28"/>
        </w:rPr>
        <w:t xml:space="preserve">‌</w:t>
      </w:r>
      <w:r>
        <w:rPr>
          <w:rFonts w:ascii="Times New Roman" w:hAnsi="Times New Roman"/>
          <w:color w:val="333333"/>
          <w:sz w:val="28"/>
        </w:rPr>
        <w:t xml:space="preserve">;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  <w:lang w:val="en-US"/>
        </w:rPr>
        <w:t xml:space="preserve">https</w:t>
      </w:r>
      <w:r>
        <w:rPr>
          <w:rFonts w:ascii="Times New Roman" w:hAnsi="Times New Roman"/>
          <w:color w:val="333333"/>
          <w:sz w:val="28"/>
        </w:rPr>
        <w:t xml:space="preserve">://</w:t>
      </w:r>
      <w:r>
        <w:rPr>
          <w:rFonts w:ascii="Times New Roman" w:hAnsi="Times New Roman"/>
          <w:color w:val="333333"/>
          <w:sz w:val="28"/>
          <w:lang w:val="en-US"/>
        </w:rPr>
        <w:t xml:space="preserve">uchi</w:t>
      </w:r>
      <w:r>
        <w:rPr>
          <w:rFonts w:ascii="Times New Roman" w:hAnsi="Times New Roman"/>
          <w:color w:val="333333"/>
          <w:sz w:val="28"/>
        </w:rPr>
        <w:t xml:space="preserve">.</w:t>
      </w:r>
      <w:r>
        <w:rPr>
          <w:rFonts w:ascii="Times New Roman" w:hAnsi="Times New Roman"/>
          <w:color w:val="333333"/>
          <w:sz w:val="28"/>
          <w:lang w:val="en-US"/>
        </w:rPr>
        <w:t xml:space="preserve">ru</w:t>
      </w:r>
      <w:r>
        <w:rPr>
          <w:rFonts w:ascii="Times New Roman" w:hAnsi="Times New Roman"/>
          <w:color w:val="333333"/>
          <w:sz w:val="28"/>
        </w:rPr>
        <w:t xml:space="preserve"> ;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  <w:lang w:val="en-US"/>
        </w:rPr>
        <w:t xml:space="preserve">https</w:t>
      </w:r>
      <w:r>
        <w:rPr>
          <w:rFonts w:ascii="Times New Roman" w:hAnsi="Times New Roman"/>
          <w:color w:val="333333"/>
          <w:sz w:val="28"/>
        </w:rPr>
        <w:t xml:space="preserve">://</w:t>
      </w:r>
      <w:r>
        <w:rPr>
          <w:rFonts w:ascii="Times New Roman" w:hAnsi="Times New Roman"/>
          <w:color w:val="333333"/>
          <w:sz w:val="28"/>
          <w:lang w:val="en-US"/>
        </w:rPr>
        <w:t xml:space="preserve">resh</w:t>
      </w:r>
      <w:r>
        <w:rPr>
          <w:rFonts w:ascii="Times New Roman" w:hAnsi="Times New Roman"/>
          <w:color w:val="333333"/>
          <w:sz w:val="28"/>
        </w:rPr>
        <w:t xml:space="preserve">.</w:t>
      </w:r>
      <w:r>
        <w:rPr>
          <w:rFonts w:ascii="Times New Roman" w:hAnsi="Times New Roman"/>
          <w:color w:val="333333"/>
          <w:sz w:val="28"/>
          <w:lang w:val="en-US"/>
        </w:rPr>
        <w:t xml:space="preserve">edu</w:t>
      </w:r>
      <w:r>
        <w:rPr>
          <w:rFonts w:ascii="Times New Roman" w:hAnsi="Times New Roman"/>
          <w:color w:val="333333"/>
          <w:sz w:val="28"/>
        </w:rPr>
        <w:t xml:space="preserve">.</w:t>
      </w:r>
      <w:r>
        <w:rPr>
          <w:rFonts w:ascii="Times New Roman" w:hAnsi="Times New Roman"/>
          <w:color w:val="333333"/>
          <w:sz w:val="28"/>
          <w:lang w:val="en-US"/>
        </w:rPr>
        <w:t xml:space="preserve">ru</w:t>
      </w:r>
      <w:r>
        <w:rPr>
          <w:rFonts w:ascii="Times New Roman" w:hAnsi="Times New Roman"/>
          <w:color w:val="333333"/>
          <w:sz w:val="28"/>
        </w:rPr>
        <w:t xml:space="preserve">/</w:t>
      </w:r>
      <w:r>
        <w:rPr>
          <w:rFonts w:ascii="Times New Roman" w:hAnsi="Times New Roman"/>
          <w:color w:val="333333"/>
          <w:sz w:val="28"/>
          <w:lang w:val="en-US"/>
        </w:rPr>
        <w:t xml:space="preserve">subject</w:t>
      </w:r>
      <w:r>
        <w:rPr>
          <w:rFonts w:ascii="Times New Roman" w:hAnsi="Times New Roman"/>
          <w:color w:val="333333"/>
          <w:sz w:val="28"/>
        </w:rPr>
        <w:t xml:space="preserve">/</w:t>
      </w:r>
      <w:r>
        <w:rPr>
          <w:rFonts w:ascii="Times New Roman" w:hAnsi="Times New Roman"/>
          <w:color w:val="333333"/>
          <w:sz w:val="28"/>
        </w:rPr>
        <w:t xml:space="preserve">9</w:t>
      </w:r>
      <w:r>
        <w:rPr>
          <w:rFonts w:ascii="Times New Roman" w:hAnsi="Times New Roman"/>
          <w:color w:val="333333"/>
          <w:sz w:val="28"/>
        </w:rPr>
        <w:t xml:space="preserve">/</w:t>
      </w:r>
      <w:bookmarkEnd w:id="28"/>
      <w:r/>
      <w:r/>
      <w:r/>
      <w:r>
        <w:rPr>
          <w:rFonts w:ascii="Times New Roman" w:hAnsi="Times New Roman"/>
          <w:b/>
          <w:color w:val="000000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7"/>
    <w:link w:val="63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37"/>
    <w:link w:val="63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37"/>
    <w:link w:val="63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37"/>
    <w:link w:val="636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37"/>
    <w:link w:val="649"/>
    <w:uiPriority w:val="10"/>
    <w:rPr>
      <w:sz w:val="48"/>
      <w:szCs w:val="48"/>
    </w:rPr>
  </w:style>
  <w:style w:type="character" w:styleId="36">
    <w:name w:val="Subtitle Char"/>
    <w:basedOn w:val="637"/>
    <w:link w:val="647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7"/>
    <w:link w:val="644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37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7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7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qFormat/>
  </w:style>
  <w:style w:type="paragraph" w:styleId="633">
    <w:name w:val="Heading 1"/>
    <w:basedOn w:val="632"/>
    <w:next w:val="632"/>
    <w:link w:val="640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styleId="634">
    <w:name w:val="Heading 2"/>
    <w:basedOn w:val="632"/>
    <w:next w:val="632"/>
    <w:link w:val="641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</w:rPr>
  </w:style>
  <w:style w:type="paragraph" w:styleId="635">
    <w:name w:val="Heading 3"/>
    <w:basedOn w:val="632"/>
    <w:next w:val="632"/>
    <w:link w:val="642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val="en-US"/>
    </w:rPr>
  </w:style>
  <w:style w:type="paragraph" w:styleId="636">
    <w:name w:val="Heading 4"/>
    <w:basedOn w:val="632"/>
    <w:next w:val="632"/>
    <w:link w:val="643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en-US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Заголовок 1 Знак"/>
    <w:basedOn w:val="637"/>
    <w:link w:val="63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641" w:customStyle="1">
    <w:name w:val="Заголовок 2 Знак"/>
    <w:basedOn w:val="637"/>
    <w:link w:val="63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</w:rPr>
  </w:style>
  <w:style w:type="character" w:styleId="642" w:customStyle="1">
    <w:name w:val="Заголовок 3 Знак"/>
    <w:basedOn w:val="637"/>
    <w:link w:val="635"/>
    <w:uiPriority w:val="9"/>
    <w:rPr>
      <w:rFonts w:asciiTheme="majorHAnsi" w:hAnsiTheme="majorHAnsi" w:eastAsiaTheme="majorEastAsia" w:cstheme="majorBidi"/>
      <w:b/>
      <w:bCs/>
      <w:color w:val="4f81bd" w:themeColor="accent1"/>
      <w:lang w:val="en-US"/>
    </w:rPr>
  </w:style>
  <w:style w:type="character" w:styleId="643" w:customStyle="1">
    <w:name w:val="Заголовок 4 Знак"/>
    <w:basedOn w:val="637"/>
    <w:link w:val="636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lang w:val="en-US"/>
    </w:rPr>
  </w:style>
  <w:style w:type="paragraph" w:styleId="644">
    <w:name w:val="Header"/>
    <w:basedOn w:val="632"/>
    <w:link w:val="645"/>
    <w:uiPriority w:val="99"/>
    <w:unhideWhenUsed/>
    <w:pPr>
      <w:tabs>
        <w:tab w:val="center" w:pos="4680" w:leader="none"/>
        <w:tab w:val="right" w:pos="9360" w:leader="none"/>
      </w:tabs>
    </w:pPr>
    <w:rPr>
      <w:lang w:val="en-US"/>
    </w:rPr>
  </w:style>
  <w:style w:type="character" w:styleId="645" w:customStyle="1">
    <w:name w:val="Верхний колонтитул Знак"/>
    <w:basedOn w:val="637"/>
    <w:link w:val="644"/>
    <w:uiPriority w:val="99"/>
    <w:rPr>
      <w:lang w:val="en-US"/>
    </w:rPr>
  </w:style>
  <w:style w:type="paragraph" w:styleId="646">
    <w:name w:val="Normal Indent"/>
    <w:basedOn w:val="632"/>
    <w:uiPriority w:val="99"/>
    <w:unhideWhenUsed/>
    <w:pPr>
      <w:ind w:left="720"/>
    </w:pPr>
    <w:rPr>
      <w:lang w:val="en-US"/>
    </w:rPr>
  </w:style>
  <w:style w:type="paragraph" w:styleId="647">
    <w:name w:val="Subtitle"/>
    <w:basedOn w:val="632"/>
    <w:next w:val="632"/>
    <w:link w:val="648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648" w:customStyle="1">
    <w:name w:val="Подзаголовок Знак"/>
    <w:basedOn w:val="637"/>
    <w:link w:val="64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649">
    <w:name w:val="Title"/>
    <w:basedOn w:val="632"/>
    <w:next w:val="632"/>
    <w:link w:val="650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val="en-US"/>
    </w:rPr>
  </w:style>
  <w:style w:type="character" w:styleId="650" w:customStyle="1">
    <w:name w:val="Название Знак"/>
    <w:basedOn w:val="637"/>
    <w:link w:val="64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val="en-US"/>
    </w:rPr>
  </w:style>
  <w:style w:type="character" w:styleId="651">
    <w:name w:val="Emphasis"/>
    <w:basedOn w:val="637"/>
    <w:uiPriority w:val="20"/>
    <w:qFormat/>
    <w:rPr>
      <w:i/>
      <w:iCs/>
    </w:rPr>
  </w:style>
  <w:style w:type="character" w:styleId="652">
    <w:name w:val="Hyperlink"/>
    <w:basedOn w:val="637"/>
    <w:uiPriority w:val="99"/>
    <w:unhideWhenUsed/>
    <w:rPr>
      <w:color w:val="0000ff" w:themeColor="hyperlink"/>
      <w:u w:val="single"/>
    </w:rPr>
  </w:style>
  <w:style w:type="paragraph" w:styleId="653">
    <w:name w:val="Balloon Text"/>
    <w:basedOn w:val="632"/>
    <w:link w:val="65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4" w:customStyle="1">
    <w:name w:val="Текст выноски Знак"/>
    <w:basedOn w:val="637"/>
    <w:link w:val="65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resh.edu.ru/subject/9/" TargetMode="External"/><Relationship Id="rId12" Type="http://schemas.openxmlformats.org/officeDocument/2006/relationships/hyperlink" Target="http://www.edu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376A-A2CC-4058-B31D-A14F83BE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4</cp:revision>
  <dcterms:created xsi:type="dcterms:W3CDTF">2023-08-23T11:50:00Z</dcterms:created>
  <dcterms:modified xsi:type="dcterms:W3CDTF">2023-09-22T15:10:43Z</dcterms:modified>
</cp:coreProperties>
</file>