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left"/>
        <w:spacing w:before="0" w:after="0" w:line="264" w:lineRule="auto"/>
      </w:pPr>
      <w:r>
        <w:rPr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26128" cy="877716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72207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326127" cy="877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8.12pt;height:691.11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  <w:t xml:space="preserve">  </w:t>
      </w:r>
      <w:bookmarkStart w:id="5" w:name="block-24917676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ОБЩАЯ ХАРАКТЕРИСТИКА УЧЕБНОГО ПРЕДМЕТА «ИСТОРИЯ»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 предмета «История» в системе школьного образования опре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УЧЕБНОГО ПРЕДМЕТА «ИСТОРИЯ»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Задачами изучения истории являются: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молодого поколения ориентиров для гражданской, этнонациональной, социальн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ой, культурной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самоидентификации в окружающем мире;</w:t>
      </w:r>
      <w:r/>
    </w:p>
    <w:p>
      <w:pPr>
        <w:numPr>
          <w:ilvl w:val="0"/>
          <w:numId w:val="1"/>
        </w:numPr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 основных этапах развит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человеческого общества, при особом внимании к месту и роли России во всемирно-историческом процессе;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народами, в духе демократических ценностей современного общества;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МЕСТО УЧЕБНОГО ПРЕДМЕТА «ИСТОРИЯ» В УЧЕБНОМ ПЛАНЕ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6" w:name="block-24917676"/>
      <w:r/>
      <w:bookmarkEnd w:id="6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ИСТОРИЯ ДРЕВНЕГО МИРА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Введение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ПЕРВОБЫТНОСТЬ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Древнейшие земледельцы и скотоводы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Разложение первобытнообщинных отношений. На пороге цивилизации.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ДРЕВНИЙ МИР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Понятие и хронологические рамки истории Древнего мира. Карта Древнего мира.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Древний Восток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Понятие «Древний Восток». Карта Древневосточного мира.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Древний Египет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Религиозные верования египтян. Боги Древ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Древние цивилизации Месопотамии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Древний Вавилон. Царь Хаммурапи и его законы.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Ассирия. Завоевания ассирийцев. Создание сильной державы. Культурные сокровища Ниневии. Гибель империи.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Усиление Нововавилонского царства. Легендарные памятники города Вавилона.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Восточное Средиземноморье в древности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Природные условия, их влияние на занятия жит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Персидская держава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Древняя Индия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Древний Китай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Древняя Греция. Эллинизм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Древнейшая Греция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Греческие полисы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Греко-персидски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Культура Древней Греции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Религия древних греко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Македонские завоевания. Эллинизм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Возвышение Македонии. Политика 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Древний Рим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Возникновение Римского государства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 и население Апеннинского полуостро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Римские завоевания в Средиземноморье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Поздняя Римская республика. Гражданские войны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Расцвет и падение Римской империи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Начало Великого переселения народов. Рим и варвары. Падение Западной Римской империи.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Культура Древнего Рима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Обобщение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Историческое и культурное наследие цивилизаций Древнего мира.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0" w:name="block-24917675"/>
      <w:r/>
      <w:bookmarkEnd w:id="10"/>
      <w:r/>
      <w:r/>
    </w:p>
    <w:p>
      <w:pPr>
        <w:ind w:left="120"/>
        <w:jc w:val="left"/>
        <w:spacing w:before="0" w:after="0"/>
      </w:pPr>
      <w:r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История Древнего мира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Первобытность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Древний мир. Древний Восток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Древний Египет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Древние цивилизации Месопотамии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Восточное Средиземноморье в древности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Персидская держава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Древняя Индия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Древний Китай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Древняя Греция. Эллинизм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Древнейшая Греция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Греческие полисы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Культура Древней Греции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Македонские завоевания. Эллинизм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Древний Рим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Возникновение Римского государства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Римские завоевания в Средиземноморье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Поздняя Римская республика. Гражданские войны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Расцвет и падение Римской империи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Культура Древнего Рима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7f4139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https://m.edsoo.ru/7f41393a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/>
      <w:bookmarkStart w:id="15" w:name="block-24917673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6" w:name="block-24917673"/>
      <w:r/>
      <w:bookmarkEnd w:id="16"/>
      <w:r/>
      <w:bookmarkEnd w:id="15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5"/>
    <w:basedOn w:val="890"/>
    <w:next w:val="890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5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0"/>
    <w:next w:val="890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0"/>
    <w:next w:val="890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5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0"/>
    <w:next w:val="890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5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0"/>
    <w:next w:val="890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5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0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Quote"/>
    <w:basedOn w:val="890"/>
    <w:next w:val="890"/>
    <w:link w:val="742"/>
    <w:uiPriority w:val="29"/>
    <w:qFormat/>
    <w:pPr>
      <w:ind w:left="720" w:right="720"/>
    </w:pPr>
    <w:rPr>
      <w:i/>
    </w:r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0"/>
    <w:next w:val="890"/>
    <w:link w:val="74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>
    <w:name w:val="Intense Quote Char"/>
    <w:link w:val="743"/>
    <w:uiPriority w:val="30"/>
    <w:rPr>
      <w:i/>
    </w:rPr>
  </w:style>
  <w:style w:type="paragraph" w:styleId="745">
    <w:name w:val="Footer"/>
    <w:basedOn w:val="890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basedOn w:val="895"/>
    <w:link w:val="745"/>
    <w:uiPriority w:val="99"/>
  </w:style>
  <w:style w:type="character" w:styleId="747">
    <w:name w:val="Caption Char"/>
    <w:basedOn w:val="911"/>
    <w:link w:val="745"/>
    <w:uiPriority w:val="99"/>
  </w:style>
  <w:style w:type="table" w:styleId="748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5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5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89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92">
    <w:name w:val="Heading 2"/>
    <w:basedOn w:val="890"/>
    <w:next w:val="890"/>
    <w:link w:val="89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3">
    <w:name w:val="Heading 3"/>
    <w:basedOn w:val="890"/>
    <w:next w:val="890"/>
    <w:link w:val="90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4">
    <w:name w:val="Heading 4"/>
    <w:basedOn w:val="890"/>
    <w:next w:val="890"/>
    <w:link w:val="901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95" w:default="1">
    <w:name w:val="Default Paragraph Font"/>
    <w:uiPriority w:val="1"/>
    <w:semiHidden/>
    <w:unhideWhenUsed/>
  </w:style>
  <w:style w:type="paragraph" w:styleId="896">
    <w:name w:val="Header"/>
    <w:basedOn w:val="890"/>
    <w:link w:val="89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97" w:customStyle="1">
    <w:name w:val="Header Char"/>
    <w:basedOn w:val="895"/>
    <w:link w:val="896"/>
    <w:uiPriority w:val="99"/>
  </w:style>
  <w:style w:type="character" w:styleId="898" w:customStyle="1">
    <w:name w:val="Heading 1 Char"/>
    <w:basedOn w:val="895"/>
    <w:link w:val="89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99" w:customStyle="1">
    <w:name w:val="Heading 2 Char"/>
    <w:basedOn w:val="895"/>
    <w:link w:val="89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00" w:customStyle="1">
    <w:name w:val="Heading 3 Char"/>
    <w:basedOn w:val="895"/>
    <w:link w:val="89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01" w:customStyle="1">
    <w:name w:val="Heading 4 Char"/>
    <w:basedOn w:val="895"/>
    <w:link w:val="894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02">
    <w:name w:val="Normal Indent"/>
    <w:basedOn w:val="890"/>
    <w:uiPriority w:val="99"/>
    <w:unhideWhenUsed/>
    <w:pPr>
      <w:ind w:left="720"/>
    </w:pPr>
  </w:style>
  <w:style w:type="paragraph" w:styleId="903">
    <w:name w:val="Subtitle"/>
    <w:basedOn w:val="890"/>
    <w:next w:val="890"/>
    <w:link w:val="904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04" w:customStyle="1">
    <w:name w:val="Subtitle Char"/>
    <w:basedOn w:val="895"/>
    <w:link w:val="90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05">
    <w:name w:val="Title"/>
    <w:basedOn w:val="890"/>
    <w:next w:val="890"/>
    <w:link w:val="906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06" w:customStyle="1">
    <w:name w:val="Title Char"/>
    <w:basedOn w:val="895"/>
    <w:link w:val="90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07">
    <w:name w:val="Emphasis"/>
    <w:basedOn w:val="895"/>
    <w:uiPriority w:val="20"/>
    <w:qFormat/>
    <w:rPr>
      <w:i/>
      <w:iCs/>
    </w:rPr>
  </w:style>
  <w:style w:type="character" w:styleId="908">
    <w:name w:val="Hyperlink"/>
    <w:basedOn w:val="895"/>
    <w:uiPriority w:val="99"/>
    <w:unhideWhenUsed/>
    <w:rPr>
      <w:color w:val="0000ff" w:themeColor="hyperlink"/>
      <w:u w:val="single"/>
    </w:rPr>
  </w:style>
  <w:style w:type="table" w:styleId="909">
    <w:name w:val="Table Grid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1">
    <w:name w:val="Caption"/>
    <w:basedOn w:val="890"/>
    <w:next w:val="890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9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16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393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2023-11-09T13:01:37Z</dcterms:modified>
</cp:coreProperties>
</file>